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091" w:rsidRPr="005C296B" w:rsidRDefault="009A1649" w:rsidP="009A1649">
      <w:pPr>
        <w:jc w:val="center"/>
        <w:rPr>
          <w:rFonts w:hint="eastAsia"/>
          <w:sz w:val="24"/>
          <w:szCs w:val="24"/>
        </w:rPr>
      </w:pPr>
      <w:r w:rsidRPr="005C296B">
        <w:rPr>
          <w:rFonts w:hint="eastAsia"/>
          <w:sz w:val="24"/>
          <w:szCs w:val="24"/>
        </w:rPr>
        <w:t>中间投入品进口、产品转换与企业要素禀赋结构升级</w:t>
      </w:r>
    </w:p>
    <w:p w:rsidR="009A1649" w:rsidRPr="005C296B" w:rsidRDefault="009A1649" w:rsidP="009A1649">
      <w:pPr>
        <w:jc w:val="center"/>
        <w:rPr>
          <w:rFonts w:ascii="lucida Grande" w:eastAsia="宋体" w:hAnsi="lucida Grande" w:cs="宋体" w:hint="eastAsia"/>
          <w:color w:val="000000"/>
          <w:kern w:val="0"/>
          <w:sz w:val="24"/>
          <w:szCs w:val="24"/>
        </w:rPr>
      </w:pPr>
      <w:r w:rsidRPr="005C296B">
        <w:rPr>
          <w:rFonts w:ascii="lucida Grande" w:eastAsia="宋体" w:hAnsi="lucida Grande" w:cs="宋体"/>
          <w:color w:val="000000"/>
          <w:kern w:val="0"/>
          <w:sz w:val="24"/>
          <w:szCs w:val="24"/>
        </w:rPr>
        <w:t>《经济研究》，</w:t>
      </w:r>
      <w:r w:rsidRPr="005C296B">
        <w:rPr>
          <w:rFonts w:ascii="lucida Grande" w:eastAsia="宋体" w:hAnsi="lucida Grande" w:cs="宋体" w:hint="eastAsia"/>
          <w:color w:val="000000"/>
          <w:kern w:val="0"/>
          <w:sz w:val="24"/>
          <w:szCs w:val="24"/>
        </w:rPr>
        <w:t>2017</w:t>
      </w:r>
      <w:r w:rsidRPr="005C296B">
        <w:rPr>
          <w:rFonts w:ascii="lucida Grande" w:eastAsia="宋体" w:hAnsi="lucida Grande" w:cs="宋体" w:hint="eastAsia"/>
          <w:color w:val="000000"/>
          <w:kern w:val="0"/>
          <w:sz w:val="24"/>
          <w:szCs w:val="24"/>
        </w:rPr>
        <w:t>年</w:t>
      </w:r>
      <w:r w:rsidRPr="005C296B">
        <w:rPr>
          <w:rFonts w:ascii="lucida Grande" w:eastAsia="宋体" w:hAnsi="lucida Grande" w:cs="宋体"/>
          <w:color w:val="000000"/>
          <w:kern w:val="0"/>
          <w:sz w:val="24"/>
          <w:szCs w:val="24"/>
        </w:rPr>
        <w:t>第</w:t>
      </w:r>
      <w:r w:rsidRPr="005C296B">
        <w:rPr>
          <w:rFonts w:ascii="lucida Grande" w:eastAsia="宋体" w:hAnsi="lucida Grande" w:cs="宋体"/>
          <w:color w:val="000000"/>
          <w:kern w:val="0"/>
          <w:sz w:val="24"/>
          <w:szCs w:val="24"/>
        </w:rPr>
        <w:t>1</w:t>
      </w:r>
      <w:r w:rsidRPr="005C296B">
        <w:rPr>
          <w:rFonts w:ascii="lucida Grande" w:eastAsia="宋体" w:hAnsi="lucida Grande" w:cs="宋体"/>
          <w:color w:val="000000"/>
          <w:kern w:val="0"/>
          <w:sz w:val="24"/>
          <w:szCs w:val="24"/>
        </w:rPr>
        <w:t>期，第</w:t>
      </w:r>
      <w:r w:rsidRPr="005C296B">
        <w:rPr>
          <w:rFonts w:ascii="lucida Grande" w:eastAsia="宋体" w:hAnsi="lucida Grande" w:cs="宋体"/>
          <w:color w:val="000000"/>
          <w:kern w:val="0"/>
          <w:sz w:val="24"/>
          <w:szCs w:val="24"/>
        </w:rPr>
        <w:t>58-71</w:t>
      </w:r>
      <w:r w:rsidRPr="005C296B">
        <w:rPr>
          <w:rFonts w:ascii="lucida Grande" w:eastAsia="宋体" w:hAnsi="lucida Grande" w:cs="宋体"/>
          <w:color w:val="000000"/>
          <w:kern w:val="0"/>
          <w:sz w:val="24"/>
          <w:szCs w:val="24"/>
        </w:rPr>
        <w:t>页</w:t>
      </w:r>
    </w:p>
    <w:p w:rsidR="009A1649" w:rsidRDefault="009A1649" w:rsidP="009A1649">
      <w:pPr>
        <w:jc w:val="center"/>
        <w:rPr>
          <w:rFonts w:ascii="lucida Grande" w:eastAsia="宋体" w:hAnsi="lucida Grande" w:cs="宋体" w:hint="eastAsia"/>
          <w:color w:val="000000"/>
          <w:kern w:val="0"/>
          <w:szCs w:val="21"/>
        </w:rPr>
      </w:pPr>
    </w:p>
    <w:p w:rsidR="00FA4817" w:rsidRPr="00FA4817" w:rsidRDefault="00FA4817" w:rsidP="00FA4817">
      <w:pPr>
        <w:rPr>
          <w:rFonts w:hint="eastAsia"/>
          <w:color w:val="000000" w:themeColor="text1"/>
        </w:rPr>
      </w:pPr>
      <w:r w:rsidRPr="00FA4817">
        <w:rPr>
          <w:rFonts w:hint="eastAsia"/>
          <w:color w:val="000000" w:themeColor="text1"/>
        </w:rPr>
        <w:t>【内容概览】</w:t>
      </w:r>
    </w:p>
    <w:p w:rsidR="009A1649" w:rsidRPr="005C296B" w:rsidRDefault="009A1649" w:rsidP="009A1649">
      <w:pPr>
        <w:spacing w:line="360" w:lineRule="auto"/>
        <w:ind w:firstLineChars="200" w:firstLine="420"/>
        <w:jc w:val="left"/>
        <w:rPr>
          <w:rFonts w:ascii="Times New Roman" w:hAnsi="Times New Roman" w:hint="eastAsia"/>
        </w:rPr>
      </w:pPr>
      <w:r w:rsidRPr="005C296B">
        <w:rPr>
          <w:rFonts w:ascii="Times New Roman"/>
        </w:rPr>
        <w:t>在经历了三十多年的持续贸易繁荣之后，中国的对外贸易自</w:t>
      </w:r>
      <w:r w:rsidRPr="005C296B">
        <w:rPr>
          <w:rFonts w:ascii="Times New Roman" w:hAnsi="Times New Roman"/>
        </w:rPr>
        <w:t>2012</w:t>
      </w:r>
      <w:r w:rsidRPr="005C296B">
        <w:rPr>
          <w:rFonts w:ascii="Times New Roman"/>
        </w:rPr>
        <w:t>年以来开始进入中低速增长的轨道。这引发了人们自金融危机以来对中国贸易增长前景的持续关注与热烈讨论。经济学家们</w:t>
      </w:r>
      <w:r w:rsidRPr="005C296B">
        <w:rPr>
          <w:rFonts w:ascii="Times New Roman" w:hint="eastAsia"/>
        </w:rPr>
        <w:t>深入分析的</w:t>
      </w:r>
      <w:r w:rsidRPr="005C296B">
        <w:rPr>
          <w:rFonts w:ascii="Times New Roman"/>
        </w:rPr>
        <w:t>一致结论是，中国的贸易发展必须尽快实现转型和升级。但是，关于转型和升级的路径和方式，却是莫衷一是，并未形成共识。一个经济的生产结构与技术结构，是由其要素禀赋结构内生决定的（林毅夫，</w:t>
      </w:r>
      <w:r w:rsidRPr="005C296B">
        <w:rPr>
          <w:rFonts w:ascii="Times New Roman" w:hAnsi="Times New Roman"/>
        </w:rPr>
        <w:t>2002</w:t>
      </w:r>
      <w:r w:rsidRPr="005C296B">
        <w:rPr>
          <w:rFonts w:ascii="Times New Roman"/>
        </w:rPr>
        <w:t>）。在这个意义上，我们强调，中国贸易发展的转型与升级，也应以要素禀赋结构的提升为目标</w:t>
      </w:r>
      <w:r w:rsidRPr="005C296B">
        <w:rPr>
          <w:rFonts w:ascii="Times New Roman" w:hint="eastAsia"/>
        </w:rPr>
        <w:t>之一</w:t>
      </w:r>
      <w:r w:rsidRPr="005C296B">
        <w:rPr>
          <w:rFonts w:ascii="Times New Roman"/>
        </w:rPr>
        <w:t>。由于企业是对外贸易的微观主体，企业的要素禀赋结构变化也因此构成了宏观层面要素禀赋结构变化的微观基础。因此，本文主要从企业要素禀赋结构的变化来讨论中国贸易发展的转型与升级问题。</w:t>
      </w:r>
    </w:p>
    <w:p w:rsidR="009A1649" w:rsidRPr="005C296B" w:rsidRDefault="009A1649" w:rsidP="005C296B">
      <w:pPr>
        <w:spacing w:line="360" w:lineRule="auto"/>
        <w:ind w:firstLineChars="200" w:firstLine="420"/>
        <w:jc w:val="left"/>
        <w:rPr>
          <w:rFonts w:ascii="Times New Roman" w:hAnsi="Times New Roman" w:hint="eastAsia"/>
          <w:szCs w:val="18"/>
        </w:rPr>
      </w:pPr>
      <w:r w:rsidRPr="005C296B">
        <w:rPr>
          <w:rFonts w:ascii="Times New Roman"/>
          <w:color w:val="000000"/>
          <w:szCs w:val="18"/>
        </w:rPr>
        <w:t>本文构建了一个引入多要素投入和中间投入品要素密度差异的企业异质性模型框架，</w:t>
      </w:r>
      <w:r w:rsidRPr="005C296B">
        <w:rPr>
          <w:rFonts w:ascii="Times New Roman"/>
          <w:szCs w:val="18"/>
        </w:rPr>
        <w:t>分析企业进口中间投入品及其产品转换行为对企业要素禀赋结构的影响。理论研究</w:t>
      </w:r>
      <w:r w:rsidRPr="005C296B">
        <w:rPr>
          <w:rFonts w:ascii="Times New Roman" w:hint="eastAsia"/>
          <w:szCs w:val="18"/>
        </w:rPr>
        <w:t>结果</w:t>
      </w:r>
      <w:r w:rsidRPr="005C296B">
        <w:rPr>
          <w:rFonts w:ascii="Times New Roman"/>
          <w:szCs w:val="18"/>
        </w:rPr>
        <w:t>表明：高生产率企业更倾向于进口中间投入品；企业会根据中间投入品要素密度调整进口种类的数量与规模，发生产品转换行为；通过进口产品转换，中间投入品生产要素流动引起企业要素密度的变动，最终提升企业的要素禀赋结构。在此基础上</w:t>
      </w:r>
      <w:r w:rsidRPr="005C296B">
        <w:rPr>
          <w:rFonts w:ascii="Times New Roman" w:hint="eastAsia"/>
          <w:szCs w:val="18"/>
        </w:rPr>
        <w:t>，</w:t>
      </w:r>
      <w:r w:rsidRPr="005C296B">
        <w:rPr>
          <w:rFonts w:ascii="Times New Roman"/>
          <w:szCs w:val="18"/>
        </w:rPr>
        <w:t>我们</w:t>
      </w:r>
      <w:r w:rsidRPr="005C296B">
        <w:rPr>
          <w:rFonts w:ascii="Times New Roman"/>
          <w:kern w:val="0"/>
          <w:szCs w:val="21"/>
        </w:rPr>
        <w:t>利用</w:t>
      </w:r>
      <w:r w:rsidRPr="005C296B">
        <w:rPr>
          <w:rFonts w:ascii="Times New Roman" w:hAnsi="Times New Roman"/>
          <w:kern w:val="0"/>
          <w:szCs w:val="21"/>
        </w:rPr>
        <w:t>2000-2006</w:t>
      </w:r>
      <w:r w:rsidRPr="005C296B">
        <w:rPr>
          <w:rFonts w:ascii="Times New Roman"/>
          <w:kern w:val="0"/>
          <w:szCs w:val="21"/>
        </w:rPr>
        <w:t>年中国工业企业数据库与海关库数据</w:t>
      </w:r>
      <w:r w:rsidRPr="005C296B">
        <w:rPr>
          <w:rFonts w:ascii="Times New Roman" w:hint="eastAsia"/>
          <w:kern w:val="0"/>
          <w:szCs w:val="21"/>
        </w:rPr>
        <w:t>，针对</w:t>
      </w:r>
      <w:r w:rsidRPr="005C296B">
        <w:rPr>
          <w:rFonts w:ascii="Times New Roman" w:hint="eastAsia"/>
        </w:rPr>
        <w:t>中间投入品进口及其产品转换对企业要素禀赋结构的影响进行实证分析。</w:t>
      </w:r>
      <w:r w:rsidR="005C296B" w:rsidRPr="005C296B">
        <w:rPr>
          <w:rFonts w:ascii="Times New Roman" w:hint="eastAsia"/>
        </w:rPr>
        <w:t>基于</w:t>
      </w:r>
      <w:r w:rsidR="005C296B" w:rsidRPr="005C296B">
        <w:rPr>
          <w:rFonts w:ascii="Times New Roman" w:hint="eastAsia"/>
          <w:szCs w:val="21"/>
        </w:rPr>
        <w:t>混合</w:t>
      </w:r>
      <w:r w:rsidR="005C296B" w:rsidRPr="005C296B">
        <w:rPr>
          <w:rFonts w:ascii="Times New Roman" w:hAnsi="Times New Roman" w:hint="eastAsia"/>
          <w:szCs w:val="21"/>
        </w:rPr>
        <w:t>OLS</w:t>
      </w:r>
      <w:r w:rsidR="005C296B" w:rsidRPr="005C296B">
        <w:rPr>
          <w:rFonts w:ascii="Times New Roman" w:hint="eastAsia"/>
          <w:szCs w:val="21"/>
        </w:rPr>
        <w:t>回归和各种稳健性检验，本文的</w:t>
      </w:r>
      <w:r w:rsidRPr="005C296B">
        <w:rPr>
          <w:rFonts w:ascii="Times New Roman"/>
          <w:szCs w:val="18"/>
        </w:rPr>
        <w:t>经验研究显示，进口中间投入品与进口产品转换都通过进口的二元边际显著提升了企业资本密度，扩展边际的作用要大于集约的边际。</w:t>
      </w:r>
    </w:p>
    <w:p w:rsidR="009A1649" w:rsidRDefault="009A1649" w:rsidP="00794DAA">
      <w:pPr>
        <w:spacing w:line="360" w:lineRule="auto"/>
        <w:ind w:firstLineChars="200" w:firstLine="420"/>
        <w:jc w:val="left"/>
        <w:rPr>
          <w:rFonts w:ascii="Times New Roman" w:hint="eastAsia"/>
          <w:kern w:val="0"/>
          <w:szCs w:val="21"/>
        </w:rPr>
      </w:pPr>
      <w:r w:rsidRPr="005C296B">
        <w:rPr>
          <w:rFonts w:ascii="Times New Roman"/>
          <w:szCs w:val="21"/>
        </w:rPr>
        <w:t>本文</w:t>
      </w:r>
      <w:r w:rsidRPr="005C296B">
        <w:rPr>
          <w:rFonts w:ascii="Times New Roman" w:hint="eastAsia"/>
          <w:szCs w:val="21"/>
        </w:rPr>
        <w:t>的研究，首次</w:t>
      </w:r>
      <w:r w:rsidRPr="005C296B">
        <w:rPr>
          <w:rFonts w:ascii="Times New Roman"/>
          <w:szCs w:val="21"/>
        </w:rPr>
        <w:t>揭示了企业的</w:t>
      </w:r>
      <w:r w:rsidRPr="005C296B">
        <w:rPr>
          <w:rFonts w:ascii="Times New Roman" w:hint="eastAsia"/>
          <w:szCs w:val="21"/>
        </w:rPr>
        <w:t>中间投入品</w:t>
      </w:r>
      <w:r w:rsidRPr="005C296B">
        <w:rPr>
          <w:rFonts w:ascii="Times New Roman"/>
          <w:szCs w:val="21"/>
        </w:rPr>
        <w:t>进口</w:t>
      </w:r>
      <w:r w:rsidRPr="005C296B">
        <w:rPr>
          <w:rFonts w:ascii="Times New Roman" w:hint="eastAsia"/>
          <w:szCs w:val="21"/>
        </w:rPr>
        <w:t>及其产品</w:t>
      </w:r>
      <w:r w:rsidRPr="005C296B">
        <w:rPr>
          <w:rFonts w:ascii="Times New Roman"/>
          <w:szCs w:val="21"/>
        </w:rPr>
        <w:t>转换对</w:t>
      </w:r>
      <w:r w:rsidRPr="005C296B">
        <w:rPr>
          <w:rFonts w:ascii="Times New Roman" w:hint="eastAsia"/>
          <w:szCs w:val="21"/>
        </w:rPr>
        <w:t>企业</w:t>
      </w:r>
      <w:r w:rsidRPr="005C296B">
        <w:rPr>
          <w:rFonts w:ascii="Times New Roman"/>
          <w:szCs w:val="21"/>
        </w:rPr>
        <w:t>要素结构的影响，</w:t>
      </w:r>
      <w:r w:rsidRPr="005C296B">
        <w:rPr>
          <w:rFonts w:ascii="Times New Roman" w:hint="eastAsia"/>
          <w:szCs w:val="21"/>
        </w:rPr>
        <w:t>其所蕴含的</w:t>
      </w:r>
      <w:r w:rsidR="007010DD">
        <w:rPr>
          <w:rFonts w:ascii="Times New Roman" w:hint="eastAsia"/>
          <w:szCs w:val="21"/>
        </w:rPr>
        <w:t>实践意义和</w:t>
      </w:r>
      <w:r w:rsidRPr="005C296B">
        <w:rPr>
          <w:rFonts w:ascii="Times New Roman" w:hint="eastAsia"/>
          <w:szCs w:val="21"/>
        </w:rPr>
        <w:t>政策含义十分丰富</w:t>
      </w:r>
      <w:r w:rsidRPr="005C296B">
        <w:rPr>
          <w:rFonts w:ascii="Times New Roman"/>
          <w:szCs w:val="21"/>
        </w:rPr>
        <w:t>。</w:t>
      </w:r>
      <w:r w:rsidRPr="005C296B">
        <w:rPr>
          <w:rFonts w:ascii="Times New Roman" w:hint="eastAsia"/>
          <w:szCs w:val="21"/>
        </w:rPr>
        <w:t>首先，进口贸易不仅有助于企业提升全要素生产率、改进技术结构、完善产品质量、优化资源配置等，还能影响企业的要素禀赋结构。</w:t>
      </w:r>
      <w:r w:rsidR="007010DD" w:rsidRPr="005C296B">
        <w:rPr>
          <w:rFonts w:ascii="Times New Roman" w:hint="eastAsia"/>
          <w:szCs w:val="21"/>
        </w:rPr>
        <w:t>因此，政府应进一步从要素禀赋结构的角度充分认识和挖掘进口的政策功能，有效发挥进口在推进贸易转型和升级中的作用。这实际上也是在开放经济中推进供给侧结构性改革的有益尝试。</w:t>
      </w:r>
      <w:r w:rsidR="007010DD">
        <w:rPr>
          <w:rFonts w:ascii="Times New Roman" w:hint="eastAsia"/>
          <w:szCs w:val="21"/>
        </w:rPr>
        <w:t>其次，</w:t>
      </w:r>
      <w:r w:rsidR="00807954">
        <w:rPr>
          <w:rFonts w:ascii="Times New Roman" w:hint="eastAsia"/>
          <w:szCs w:val="21"/>
        </w:rPr>
        <w:t>本文强调了</w:t>
      </w:r>
      <w:r w:rsidR="00807954" w:rsidRPr="00C73006">
        <w:rPr>
          <w:rFonts w:hint="eastAsia"/>
          <w:szCs w:val="21"/>
        </w:rPr>
        <w:t>产品转换作为一种企</w:t>
      </w:r>
      <w:r w:rsidR="00807954">
        <w:rPr>
          <w:rFonts w:hint="eastAsia"/>
          <w:szCs w:val="21"/>
        </w:rPr>
        <w:t>业内的扩展边际，其对于企业行为绩效以及贸易利益的重要影响也应受到重视。相比于已有诸多文献主要是从产品偏好、汇率波动以及</w:t>
      </w:r>
      <w:r w:rsidR="00807954" w:rsidRPr="00C73006">
        <w:rPr>
          <w:rFonts w:hint="eastAsia"/>
          <w:szCs w:val="21"/>
        </w:rPr>
        <w:t>贸易自由化等</w:t>
      </w:r>
      <w:r w:rsidR="00807954">
        <w:rPr>
          <w:rFonts w:hint="eastAsia"/>
          <w:szCs w:val="21"/>
        </w:rPr>
        <w:t>角度探究多产品企业的产品转换行为及其在全要素生产率等方面的</w:t>
      </w:r>
      <w:r w:rsidR="004572CF">
        <w:rPr>
          <w:rFonts w:hint="eastAsia"/>
          <w:szCs w:val="21"/>
        </w:rPr>
        <w:t>贸易利得</w:t>
      </w:r>
      <w:r w:rsidR="00807954">
        <w:rPr>
          <w:rFonts w:hint="eastAsia"/>
          <w:szCs w:val="21"/>
        </w:rPr>
        <w:t>影响，本文的研究将从企业要素禀赋的角度进一步丰富人们对</w:t>
      </w:r>
      <w:r w:rsidR="00794DAA">
        <w:rPr>
          <w:rFonts w:hint="eastAsia"/>
          <w:szCs w:val="21"/>
        </w:rPr>
        <w:t>产品转换的福利内涵</w:t>
      </w:r>
      <w:r w:rsidR="00807954">
        <w:rPr>
          <w:rFonts w:hint="eastAsia"/>
          <w:szCs w:val="21"/>
        </w:rPr>
        <w:t>的理解</w:t>
      </w:r>
      <w:r w:rsidR="00794DAA">
        <w:rPr>
          <w:rFonts w:hint="eastAsia"/>
          <w:szCs w:val="21"/>
        </w:rPr>
        <w:t>。</w:t>
      </w:r>
      <w:r w:rsidR="00794DAA">
        <w:rPr>
          <w:rFonts w:ascii="Times New Roman" w:hint="eastAsia"/>
          <w:szCs w:val="21"/>
        </w:rPr>
        <w:t>最后</w:t>
      </w:r>
      <w:r w:rsidRPr="005C296B">
        <w:rPr>
          <w:rFonts w:ascii="Times New Roman" w:hint="eastAsia"/>
          <w:szCs w:val="21"/>
        </w:rPr>
        <w:t>，</w:t>
      </w:r>
      <w:r w:rsidRPr="005C296B">
        <w:rPr>
          <w:rFonts w:ascii="Times New Roman" w:hint="eastAsia"/>
          <w:kern w:val="0"/>
          <w:szCs w:val="21"/>
        </w:rPr>
        <w:t>从具体政策层面来看，通过进一步实施贸易自由化（如削减关税）、推进贸易便利化（如简化和</w:t>
      </w:r>
      <w:r w:rsidRPr="005C296B">
        <w:rPr>
          <w:rFonts w:ascii="Times New Roman" w:hint="eastAsia"/>
          <w:kern w:val="0"/>
          <w:szCs w:val="21"/>
        </w:rPr>
        <w:lastRenderedPageBreak/>
        <w:t>协调与贸易有关的程序和行政障碍，降低贸易企业的市场进入成本和交易成本），尽可能减少企业中间投入品进口及其进行产品转换的外部政策约束，将有助于提升企业的要素禀赋结构，并进而改善整个经济体的生产与贸易结构，最终推动中国贸易发展的转型与升级。</w:t>
      </w:r>
    </w:p>
    <w:p w:rsidR="00412712" w:rsidRDefault="00412712" w:rsidP="00794DAA">
      <w:pPr>
        <w:spacing w:line="360" w:lineRule="auto"/>
        <w:ind w:firstLineChars="200" w:firstLine="420"/>
        <w:jc w:val="left"/>
        <w:rPr>
          <w:rFonts w:ascii="Times New Roman" w:hint="eastAsia"/>
          <w:kern w:val="0"/>
          <w:szCs w:val="21"/>
        </w:rPr>
      </w:pPr>
    </w:p>
    <w:p w:rsidR="00FA4817" w:rsidRPr="00FA4817" w:rsidRDefault="00FA4817" w:rsidP="00FA4817">
      <w:pPr>
        <w:rPr>
          <w:rFonts w:hint="eastAsia"/>
          <w:color w:val="000000" w:themeColor="text1"/>
        </w:rPr>
      </w:pPr>
      <w:r w:rsidRPr="00FA4817">
        <w:rPr>
          <w:rFonts w:hint="eastAsia"/>
          <w:color w:val="000000" w:themeColor="text1"/>
        </w:rPr>
        <w:t>【作者简介】</w:t>
      </w:r>
    </w:p>
    <w:p w:rsidR="00FA4817" w:rsidRDefault="00412712" w:rsidP="00412712">
      <w:pPr>
        <w:rPr>
          <w:rFonts w:ascii="Times New Roman" w:eastAsia="宋体" w:hAnsi="Times New Roman" w:cs="Times New Roman" w:hint="eastAsia"/>
        </w:rPr>
      </w:pPr>
      <w:r w:rsidRPr="009D0F93">
        <w:rPr>
          <w:rFonts w:asciiTheme="minorEastAsia" w:hAnsiTheme="minorEastAsia" w:hint="eastAsia"/>
          <w:b/>
          <w:szCs w:val="21"/>
        </w:rPr>
        <w:t>钱学锋</w:t>
      </w:r>
      <w:r w:rsidRPr="00BD59A6">
        <w:rPr>
          <w:rFonts w:asciiTheme="minorEastAsia" w:hAnsiTheme="minorEastAsia" w:hint="eastAsia"/>
          <w:szCs w:val="21"/>
        </w:rPr>
        <w:t xml:space="preserve"> 中南财经政法大学工商管理学院院长、教授、博士生导师。主要研究</w:t>
      </w:r>
      <w:r>
        <w:rPr>
          <w:rFonts w:asciiTheme="minorEastAsia" w:hAnsiTheme="minorEastAsia" w:hint="eastAsia"/>
          <w:szCs w:val="21"/>
        </w:rPr>
        <w:t>方向：</w:t>
      </w:r>
      <w:r w:rsidRPr="00BD59A6">
        <w:rPr>
          <w:rFonts w:asciiTheme="minorEastAsia" w:hAnsiTheme="minorEastAsia" w:hint="eastAsia"/>
          <w:szCs w:val="21"/>
        </w:rPr>
        <w:t>国际贸易理论与政策、空间经济学。</w:t>
      </w:r>
      <w:r w:rsidR="00FA4817" w:rsidRPr="00021BE0">
        <w:rPr>
          <w:rFonts w:ascii="Times New Roman" w:eastAsia="宋体" w:hAnsi="Times New Roman" w:cs="Times New Roman"/>
        </w:rPr>
        <w:t>E-MAIL</w:t>
      </w:r>
      <w:r w:rsidR="00FA4817">
        <w:rPr>
          <w:rFonts w:ascii="Times New Roman" w:eastAsia="宋体" w:hAnsi="Times New Roman" w:cs="Times New Roman" w:hint="eastAsia"/>
        </w:rPr>
        <w:t>：</w:t>
      </w:r>
      <w:r w:rsidR="00FA4817" w:rsidRPr="00021BE0">
        <w:rPr>
          <w:rFonts w:ascii="Times New Roman" w:eastAsia="宋体" w:hAnsi="Times New Roman" w:cs="Times New Roman"/>
        </w:rPr>
        <w:t>xfqian@126.com</w:t>
      </w:r>
      <w:r w:rsidR="00FA4817">
        <w:rPr>
          <w:rFonts w:ascii="Times New Roman" w:eastAsia="宋体" w:hAnsi="Times New Roman" w:cs="Times New Roman" w:hint="eastAsia"/>
        </w:rPr>
        <w:t>。</w:t>
      </w:r>
    </w:p>
    <w:p w:rsidR="00412712" w:rsidRPr="0079222A" w:rsidRDefault="00412712" w:rsidP="0079222A">
      <w:pPr>
        <w:rPr>
          <w:rFonts w:ascii="宋体" w:hAnsi="宋体"/>
          <w:color w:val="000000"/>
          <w:szCs w:val="21"/>
        </w:rPr>
      </w:pPr>
      <w:r w:rsidRPr="009D0F93">
        <w:rPr>
          <w:rFonts w:ascii="宋体" w:hAnsi="宋体"/>
          <w:b/>
          <w:color w:val="000000"/>
          <w:szCs w:val="21"/>
        </w:rPr>
        <w:t>王备</w:t>
      </w:r>
      <w:r w:rsidRPr="00BD59A6">
        <w:rPr>
          <w:rFonts w:ascii="宋体" w:hAnsi="宋体" w:hint="eastAsia"/>
          <w:color w:val="000000"/>
          <w:szCs w:val="21"/>
        </w:rPr>
        <w:t xml:space="preserve"> </w:t>
      </w:r>
      <w:r>
        <w:rPr>
          <w:rFonts w:ascii="宋体" w:hAnsi="宋体" w:hint="eastAsia"/>
          <w:color w:val="000000"/>
          <w:szCs w:val="21"/>
        </w:rPr>
        <w:t xml:space="preserve">  中南财经政法大学工商管理学院博士研究生。研究方向：国际贸易理论与政策</w:t>
      </w:r>
      <w:r w:rsidR="00FA4817">
        <w:rPr>
          <w:rFonts w:ascii="宋体" w:hAnsi="宋体" w:hint="eastAsia"/>
          <w:color w:val="000000"/>
          <w:szCs w:val="21"/>
        </w:rPr>
        <w:t>。</w:t>
      </w:r>
      <w:r w:rsidR="00FA4817" w:rsidRPr="00021BE0">
        <w:rPr>
          <w:rFonts w:ascii="Times New Roman" w:eastAsia="宋体" w:hAnsi="Times New Roman" w:cs="Times New Roman"/>
        </w:rPr>
        <w:t>E-MAIL</w:t>
      </w:r>
      <w:r w:rsidR="00FA4817">
        <w:rPr>
          <w:rFonts w:ascii="Times New Roman" w:eastAsia="宋体" w:hAnsi="Times New Roman" w:cs="Times New Roman" w:hint="eastAsia"/>
        </w:rPr>
        <w:t>：</w:t>
      </w:r>
      <w:r w:rsidR="00FA4817">
        <w:rPr>
          <w:rFonts w:ascii="Times New Roman" w:eastAsia="宋体" w:hAnsi="Times New Roman" w:cs="Times New Roman" w:hint="eastAsia"/>
        </w:rPr>
        <w:t>wangbeibarry</w:t>
      </w:r>
      <w:r w:rsidR="00FA4817" w:rsidRPr="00021BE0">
        <w:rPr>
          <w:rFonts w:ascii="Times New Roman" w:eastAsia="宋体" w:hAnsi="Times New Roman" w:cs="Times New Roman"/>
        </w:rPr>
        <w:t>@1</w:t>
      </w:r>
      <w:r w:rsidR="00FA4817">
        <w:rPr>
          <w:rFonts w:ascii="Times New Roman" w:eastAsia="宋体" w:hAnsi="Times New Roman" w:cs="Times New Roman" w:hint="eastAsia"/>
        </w:rPr>
        <w:t>63</w:t>
      </w:r>
      <w:r w:rsidR="00FA4817" w:rsidRPr="00021BE0">
        <w:rPr>
          <w:rFonts w:ascii="Times New Roman" w:eastAsia="宋体" w:hAnsi="Times New Roman" w:cs="Times New Roman"/>
        </w:rPr>
        <w:t>.com</w:t>
      </w:r>
      <w:r w:rsidR="00FA4817">
        <w:rPr>
          <w:rFonts w:ascii="Times New Roman" w:eastAsia="宋体" w:hAnsi="Times New Roman" w:cs="Times New Roman" w:hint="eastAsia"/>
        </w:rPr>
        <w:t>。</w:t>
      </w:r>
    </w:p>
    <w:sectPr w:rsidR="00412712" w:rsidRPr="0079222A" w:rsidSect="00D250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672" w:rsidRDefault="00D12672" w:rsidP="009A1649">
      <w:r>
        <w:separator/>
      </w:r>
    </w:p>
  </w:endnote>
  <w:endnote w:type="continuationSeparator" w:id="0">
    <w:p w:rsidR="00D12672" w:rsidRDefault="00D12672" w:rsidP="009A16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672" w:rsidRDefault="00D12672" w:rsidP="009A1649">
      <w:r>
        <w:separator/>
      </w:r>
    </w:p>
  </w:footnote>
  <w:footnote w:type="continuationSeparator" w:id="0">
    <w:p w:rsidR="00D12672" w:rsidRDefault="00D12672" w:rsidP="009A16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649"/>
    <w:rsid w:val="001944B4"/>
    <w:rsid w:val="0032568F"/>
    <w:rsid w:val="00412712"/>
    <w:rsid w:val="004572CF"/>
    <w:rsid w:val="005C296B"/>
    <w:rsid w:val="0069653B"/>
    <w:rsid w:val="007010DD"/>
    <w:rsid w:val="0079222A"/>
    <w:rsid w:val="00794DAA"/>
    <w:rsid w:val="00807954"/>
    <w:rsid w:val="009A1649"/>
    <w:rsid w:val="009D0F93"/>
    <w:rsid w:val="00BE6552"/>
    <w:rsid w:val="00D12672"/>
    <w:rsid w:val="00D25091"/>
    <w:rsid w:val="00E13FBF"/>
    <w:rsid w:val="00FA48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16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1649"/>
    <w:rPr>
      <w:sz w:val="18"/>
      <w:szCs w:val="18"/>
    </w:rPr>
  </w:style>
  <w:style w:type="paragraph" w:styleId="a4">
    <w:name w:val="footer"/>
    <w:basedOn w:val="a"/>
    <w:link w:val="Char0"/>
    <w:uiPriority w:val="99"/>
    <w:semiHidden/>
    <w:unhideWhenUsed/>
    <w:rsid w:val="009A16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164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王备</dc:creator>
  <cp:keywords/>
  <dc:description/>
  <cp:lastModifiedBy>王备</cp:lastModifiedBy>
  <cp:revision>9</cp:revision>
  <dcterms:created xsi:type="dcterms:W3CDTF">2019-05-21T07:43:00Z</dcterms:created>
  <dcterms:modified xsi:type="dcterms:W3CDTF">2019-05-21T08:21:00Z</dcterms:modified>
</cp:coreProperties>
</file>